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86" w:rsidRDefault="00917DC2" w:rsidP="00917DC2">
      <w:pPr>
        <w:spacing w:before="2400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7DC2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IDENTIFIKACE DOTČENÉ VEŘEJNOSTI</w:t>
      </w:r>
    </w:p>
    <w:p w:rsidR="00917DC2" w:rsidRPr="00917DC2" w:rsidRDefault="00917DC2" w:rsidP="00917DC2">
      <w:pPr>
        <w:spacing w:before="3720"/>
        <w:jc w:val="center"/>
        <w:rPr>
          <w:sz w:val="28"/>
          <w:szCs w:val="28"/>
        </w:rPr>
      </w:pPr>
      <w:r w:rsidRPr="00917DC2">
        <w:rPr>
          <w:sz w:val="28"/>
          <w:szCs w:val="28"/>
        </w:rPr>
        <w:t>Místní akční plán rozvoje vzdělávání Telčska II.</w:t>
      </w:r>
    </w:p>
    <w:p w:rsidR="00917DC2" w:rsidRPr="00917DC2" w:rsidRDefault="00917DC2" w:rsidP="00917DC2">
      <w:pPr>
        <w:jc w:val="center"/>
        <w:rPr>
          <w:sz w:val="28"/>
          <w:szCs w:val="28"/>
        </w:rPr>
      </w:pPr>
      <w:proofErr w:type="spellStart"/>
      <w:r w:rsidRPr="00917DC2">
        <w:rPr>
          <w:sz w:val="28"/>
          <w:szCs w:val="28"/>
        </w:rPr>
        <w:t>reg</w:t>
      </w:r>
      <w:proofErr w:type="spellEnd"/>
      <w:r w:rsidRPr="00917DC2">
        <w:rPr>
          <w:sz w:val="28"/>
          <w:szCs w:val="28"/>
        </w:rPr>
        <w:t>. č.: CZ.02.3.68/0.0/0.0/17_047/0009139</w:t>
      </w:r>
    </w:p>
    <w:p w:rsidR="00917DC2" w:rsidRPr="00917DC2" w:rsidRDefault="00917DC2" w:rsidP="00917DC2"/>
    <w:p w:rsidR="00917DC2" w:rsidRDefault="00917DC2" w:rsidP="00917DC2">
      <w:pPr>
        <w:jc w:val="center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7DC2" w:rsidRDefault="00917DC2" w:rsidP="00917DC2">
      <w:pPr>
        <w:jc w:val="center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7DC2" w:rsidRDefault="00917DC2" w:rsidP="00917DC2">
      <w:pPr>
        <w:jc w:val="center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7DC2" w:rsidRDefault="00917DC2" w:rsidP="00917DC2">
      <w:pPr>
        <w:jc w:val="center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7DC2" w:rsidRDefault="00917DC2" w:rsidP="00917DC2">
      <w:pPr>
        <w:jc w:val="center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7DC2" w:rsidRDefault="00917DC2" w:rsidP="00917DC2">
      <w:pPr>
        <w:jc w:val="center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7DC2" w:rsidRDefault="00917DC2" w:rsidP="00917DC2">
      <w:pPr>
        <w:jc w:val="center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7DC2" w:rsidRDefault="00917DC2" w:rsidP="00917DC2">
      <w:pPr>
        <w:jc w:val="center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7DC2" w:rsidRDefault="00917DC2" w:rsidP="00917DC2">
      <w:pPr>
        <w:jc w:val="center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7DC2" w:rsidRDefault="00917DC2" w:rsidP="00917DC2">
      <w:pPr>
        <w:jc w:val="center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7DC2" w:rsidRDefault="00917DC2" w:rsidP="00917DC2">
      <w:pPr>
        <w:jc w:val="center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7DC2" w:rsidRDefault="00917DC2" w:rsidP="00917DC2">
      <w:pPr>
        <w:jc w:val="center"/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7DC2" w:rsidRDefault="00917DC2" w:rsidP="00917DC2">
      <w:pPr>
        <w:pStyle w:val="Default"/>
      </w:pPr>
    </w:p>
    <w:p w:rsidR="00917DC2" w:rsidRPr="00917DC2" w:rsidRDefault="00917DC2" w:rsidP="00917DC2">
      <w:pPr>
        <w:rPr>
          <w:b/>
          <w:color w:val="7030A0"/>
          <w:sz w:val="32"/>
          <w:szCs w:val="32"/>
        </w:rPr>
      </w:pPr>
      <w:r w:rsidRPr="00917DC2">
        <w:rPr>
          <w:b/>
          <w:color w:val="7030A0"/>
          <w:sz w:val="32"/>
          <w:szCs w:val="32"/>
        </w:rPr>
        <w:t>Úvod</w:t>
      </w:r>
    </w:p>
    <w:p w:rsidR="00BF23D8" w:rsidRDefault="00917DC2" w:rsidP="00332047">
      <w:pPr>
        <w:jc w:val="both"/>
      </w:pPr>
      <w:r w:rsidRPr="00917DC2">
        <w:t>Identifikace dotčené veřejnosti projektu Místní akč</w:t>
      </w:r>
      <w:r>
        <w:t>ní plán rozvoje vzdělávání Telčska</w:t>
      </w:r>
      <w:r w:rsidRPr="00917DC2">
        <w:t xml:space="preserve"> II (dále jen „</w:t>
      </w:r>
      <w:r w:rsidR="00332047">
        <w:t xml:space="preserve">MAP </w:t>
      </w:r>
      <w:r w:rsidR="00BF23D8">
        <w:t xml:space="preserve">Telčska </w:t>
      </w:r>
      <w:r w:rsidR="00332047">
        <w:t>II.</w:t>
      </w:r>
      <w:r w:rsidRPr="00917DC2">
        <w:t>“) vychází z</w:t>
      </w:r>
      <w:r w:rsidR="00BF23D8">
        <w:t> Postupů MAP II.</w:t>
      </w:r>
      <w:r w:rsidRPr="00917DC2">
        <w:t xml:space="preserve">, kterými jsou vázáni </w:t>
      </w:r>
      <w:r>
        <w:t>ž</w:t>
      </w:r>
      <w:r w:rsidRPr="00917DC2">
        <w:t>adatelé o podporu a realizátoři projektů MAP II. Specifikuje výčtem externí zainteresované strany, které jsou jakkoli zapojeny do projektu (bez ohledu na intenzitu, resp. stupeň zapojení). Interní zainteresované strany,</w:t>
      </w:r>
      <w:r>
        <w:t xml:space="preserve"> </w:t>
      </w:r>
      <w:r w:rsidRPr="00917DC2">
        <w:t>jejich pravomoci, odpově</w:t>
      </w:r>
      <w:r>
        <w:t>dnost, po</w:t>
      </w:r>
      <w:r w:rsidRPr="00917DC2">
        <w:t>vinnosti a komunikační toky mezi nimi popisují blí</w:t>
      </w:r>
      <w:r>
        <w:t>že</w:t>
      </w:r>
      <w:r w:rsidRPr="00917DC2">
        <w:t xml:space="preserve"> organizačn</w:t>
      </w:r>
      <w:r w:rsidR="001E1DEE">
        <w:t>í struktura a </w:t>
      </w:r>
      <w:r w:rsidRPr="00917DC2">
        <w:t>komunikační plán projektu</w:t>
      </w:r>
      <w:r>
        <w:rPr>
          <w:sz w:val="18"/>
          <w:szCs w:val="18"/>
        </w:rPr>
        <w:t>.</w:t>
      </w:r>
    </w:p>
    <w:p w:rsidR="00BF23D8" w:rsidRDefault="00BF23D8" w:rsidP="00BF23D8">
      <w:pPr>
        <w:jc w:val="both"/>
      </w:pPr>
      <w:r>
        <w:t>Projekt MAP Telčska II. navazuje na již zrealizovaný projektu MAP Telčska. Oba projekty staví mimo jiné na principu komunitního plánování, jehož správné fungování je založeno na efektivním nastavení identifikace a oslovení dotčené veřejnosti projektu. Dotčenou veře</w:t>
      </w:r>
      <w:r w:rsidR="001E1DEE">
        <w:t>jnost tvoří primárně mateřské a </w:t>
      </w:r>
      <w:r>
        <w:t xml:space="preserve">základní školy v území ORP Telč, jejich zřizovatelé a další zainteresované </w:t>
      </w:r>
      <w:r w:rsidR="001E1DEE">
        <w:t>subjekty zabývající se </w:t>
      </w:r>
      <w:r>
        <w:t xml:space="preserve">vzděláváním dětí a žáků do 15 let věku. Pro naplnění tohoto principu bylo třeba vypracovat dokument pro konkretizaci dotčené veřejnosti – cílové skupiny. Dokument „Identifikace dotčené veřejnosti“ je jedním z výstupů klíčové aktivity Řízení a aktualizace MAP v projektu MAP </w:t>
      </w:r>
      <w:proofErr w:type="spellStart"/>
      <w:r>
        <w:t>Telčsk</w:t>
      </w:r>
      <w:r w:rsidR="00276F62">
        <w:t>a</w:t>
      </w:r>
      <w:proofErr w:type="spellEnd"/>
      <w:r>
        <w:t xml:space="preserve"> II.</w:t>
      </w:r>
    </w:p>
    <w:p w:rsidR="00595CB9" w:rsidRDefault="00BF23D8" w:rsidP="00BF23D8">
      <w:pPr>
        <w:jc w:val="both"/>
      </w:pPr>
      <w:r>
        <w:t xml:space="preserve">Obsahem tohoto dokumentu je přehled cílových skupin MAP </w:t>
      </w:r>
      <w:proofErr w:type="spellStart"/>
      <w:r w:rsidR="00595CB9">
        <w:t>Telčsk</w:t>
      </w:r>
      <w:r w:rsidR="00276F62">
        <w:t>a</w:t>
      </w:r>
      <w:proofErr w:type="spellEnd"/>
      <w:r w:rsidR="00595CB9">
        <w:t xml:space="preserve"> </w:t>
      </w:r>
      <w:r>
        <w:t>II</w:t>
      </w:r>
      <w:r w:rsidR="00595CB9">
        <w:t>. N</w:t>
      </w:r>
      <w:r>
        <w:t>ástroj</w:t>
      </w:r>
      <w:r w:rsidR="00595CB9">
        <w:t>e</w:t>
      </w:r>
      <w:r>
        <w:t xml:space="preserve"> pro jejich oslovování a komunikaci v rámci projektu</w:t>
      </w:r>
      <w:r w:rsidR="00595CB9">
        <w:t xml:space="preserve"> jsou obsaženy v dokumentu Komunikační plán MAP Telčska II</w:t>
      </w:r>
      <w:r>
        <w:t xml:space="preserve">. Cílové skupiny je možné rozdělit do těchto kategorií: </w:t>
      </w:r>
    </w:p>
    <w:p w:rsidR="00595CB9" w:rsidRDefault="00595CB9" w:rsidP="00595CB9">
      <w:pPr>
        <w:pStyle w:val="Odstavecseseznamem"/>
        <w:numPr>
          <w:ilvl w:val="0"/>
          <w:numId w:val="2"/>
        </w:numPr>
        <w:jc w:val="both"/>
      </w:pPr>
      <w:r>
        <w:t xml:space="preserve">školy (mateřské a základní) a školská zařízení </w:t>
      </w:r>
    </w:p>
    <w:p w:rsidR="00595CB9" w:rsidRDefault="00BF23D8" w:rsidP="00595CB9">
      <w:pPr>
        <w:pStyle w:val="Odstavecseseznamem"/>
        <w:numPr>
          <w:ilvl w:val="0"/>
          <w:numId w:val="2"/>
        </w:numPr>
        <w:jc w:val="both"/>
      </w:pPr>
      <w:r>
        <w:t xml:space="preserve">zřizovatelé škol </w:t>
      </w:r>
      <w:r w:rsidR="001E1DEE">
        <w:t>a školských zařízení</w:t>
      </w:r>
    </w:p>
    <w:p w:rsidR="00595CB9" w:rsidRDefault="00BF23D8" w:rsidP="00595CB9">
      <w:pPr>
        <w:pStyle w:val="Odstavecseseznamem"/>
        <w:numPr>
          <w:ilvl w:val="0"/>
          <w:numId w:val="2"/>
        </w:numPr>
        <w:jc w:val="both"/>
      </w:pPr>
      <w:r>
        <w:t xml:space="preserve">organizace působící v oblasti vzdělávání </w:t>
      </w:r>
    </w:p>
    <w:p w:rsidR="00595CB9" w:rsidRDefault="001E1DEE" w:rsidP="00595CB9">
      <w:pPr>
        <w:pStyle w:val="Odstavecseseznamem"/>
        <w:numPr>
          <w:ilvl w:val="0"/>
          <w:numId w:val="2"/>
        </w:numPr>
        <w:jc w:val="both"/>
      </w:pPr>
      <w:r>
        <w:t>veřejnost</w:t>
      </w:r>
    </w:p>
    <w:p w:rsidR="00917DC2" w:rsidRDefault="00BF23D8" w:rsidP="00BF23D8">
      <w:pPr>
        <w:jc w:val="both"/>
      </w:pPr>
      <w:r>
        <w:t>Každá z cílových skupin má své zástupce v pracovních skupinách a Řídicím výboru MAP. Všichni dotčení aktéři mají možnost účasti na aktivitách projektu</w:t>
      </w:r>
      <w:r w:rsidR="00595CB9">
        <w:t>, např. vzdělávacích seminářích, sdílení zkušeností, výměna informací atd.</w:t>
      </w:r>
      <w:r>
        <w:t xml:space="preserve"> Kromě aktivní účasti na </w:t>
      </w:r>
      <w:r w:rsidR="00595CB9">
        <w:t xml:space="preserve">těchto </w:t>
      </w:r>
      <w:r>
        <w:t>akcí</w:t>
      </w:r>
      <w:r w:rsidR="00595CB9">
        <w:t>ch</w:t>
      </w:r>
      <w:r>
        <w:t xml:space="preserve"> má dotčená veřejnost možnost získávat informace související s projektem na internetových stránkách </w:t>
      </w:r>
      <w:r w:rsidR="00595CB9">
        <w:t>Místní akční skupiny,</w:t>
      </w:r>
      <w:r>
        <w:t xml:space="preserve"> případně formou osobních konzultací se členy realizačního týmu projektu. Na internetových stránkách jsou zveřejňovány pozvánky, zápisy z realizovaných aktivit a strategické dokumenty projektu</w:t>
      </w:r>
      <w:r w:rsidR="00595CB9">
        <w:t>, fotodokumentace apod</w:t>
      </w:r>
      <w:r>
        <w:t>. Všichni aktéři cílové skupiny mají možnost okomentovat výstupové dokumenty, a to ve všech fázích jejich vzniku. Kromě internetových stránek je ke komunikaci s cílovou skupinou využívána profilová stránka projektu na sociální síti (Facebook).</w:t>
      </w:r>
    </w:p>
    <w:p w:rsidR="00595CB9" w:rsidRDefault="00595CB9">
      <w:r>
        <w:br w:type="page"/>
      </w:r>
    </w:p>
    <w:p w:rsidR="00917DC2" w:rsidRPr="00917DC2" w:rsidRDefault="00917DC2" w:rsidP="00917DC2">
      <w:pPr>
        <w:rPr>
          <w:b/>
          <w:color w:val="7030A0"/>
          <w:sz w:val="32"/>
          <w:szCs w:val="32"/>
        </w:rPr>
      </w:pPr>
      <w:r w:rsidRPr="00917DC2">
        <w:rPr>
          <w:b/>
          <w:color w:val="7030A0"/>
          <w:sz w:val="32"/>
          <w:szCs w:val="32"/>
        </w:rPr>
        <w:lastRenderedPageBreak/>
        <w:t>Školy a školská zařízení</w:t>
      </w:r>
    </w:p>
    <w:p w:rsidR="00917DC2" w:rsidRDefault="00917DC2" w:rsidP="00917DC2">
      <w:pPr>
        <w:pStyle w:val="Default"/>
      </w:pPr>
    </w:p>
    <w:p w:rsidR="00917DC2" w:rsidRDefault="00917DC2" w:rsidP="00595CB9">
      <w:pPr>
        <w:jc w:val="both"/>
      </w:pPr>
      <w:r w:rsidRPr="00917DC2">
        <w:t>Součástí dotčené veřejnosti jsou následující školy a školská zařízení se</w:t>
      </w:r>
      <w:r w:rsidR="00E543BD">
        <w:t xml:space="preserve"> sídlem v ORP Telč.</w:t>
      </w:r>
      <w:r w:rsidR="0032210F">
        <w:t xml:space="preserve"> Jedná se o 4 samostatné mateřské školy, 3</w:t>
      </w:r>
      <w:r w:rsidR="00595CB9">
        <w:t xml:space="preserve"> samostatné </w:t>
      </w:r>
      <w:r w:rsidR="0032210F">
        <w:t>základní školy (z toho 1 malotřídní), 4 školy sloučené ZŠ a MŠ (z toho 3 malotřídní). Dále do této skupiny patří Základní u</w:t>
      </w:r>
      <w:r w:rsidR="008B2A1D">
        <w:t>mělecká škola Telč a Dům dětí a </w:t>
      </w:r>
      <w:r w:rsidR="0032210F">
        <w:t>mládeže Telč. Všechny uvedené školy a školská zařízení jsou zřizová</w:t>
      </w:r>
      <w:r w:rsidR="008B2A1D">
        <w:t>ny obcemi. Na území ORP Telč se </w:t>
      </w:r>
      <w:r w:rsidR="0032210F">
        <w:t>nenachází škola zřizovaná církví či jiným subjektem ani soukromá škola.</w:t>
      </w:r>
    </w:p>
    <w:p w:rsidR="007419C8" w:rsidRDefault="00595CB9" w:rsidP="00595CB9">
      <w:pPr>
        <w:jc w:val="both"/>
      </w:pPr>
      <w:r>
        <w:t>Žádná z</w:t>
      </w:r>
      <w:r w:rsidR="0032210F">
        <w:t xml:space="preserve"> uvedených </w:t>
      </w:r>
      <w:r>
        <w:t xml:space="preserve">škol není zřízena podle § 16 školského zákona. Všichni </w:t>
      </w:r>
      <w:r w:rsidR="0032210F">
        <w:t>statutární zástupci těchto š</w:t>
      </w:r>
      <w:r>
        <w:t>kol byli osloveni k účasti školy na projektu (členství v pracovních skupinách a Řídicím výboru MAP, semináře, workshopy...). Souhlas se zapojením do projektu MAP</w:t>
      </w:r>
      <w:r w:rsidR="0032210F">
        <w:t xml:space="preserve"> Telčsk</w:t>
      </w:r>
      <w:r w:rsidR="00276F62">
        <w:t>a</w:t>
      </w:r>
      <w:r w:rsidR="0032210F">
        <w:t xml:space="preserve"> II. vyjádřilo 100 % škol v území.</w:t>
      </w:r>
      <w:r>
        <w:t xml:space="preserve"> Kromě vedoucích pracovníků škol</w:t>
      </w:r>
      <w:r w:rsidR="0032210F">
        <w:t xml:space="preserve"> a školských zařízení</w:t>
      </w:r>
      <w:r>
        <w:t xml:space="preserve"> se aktivit projektu mohou účastnit pedagogové, nepedagogičtí pracovníci</w:t>
      </w:r>
      <w:r w:rsidR="008B2A1D">
        <w:t>, děti, žáci</w:t>
      </w:r>
      <w:r>
        <w:t xml:space="preserve"> a</w:t>
      </w:r>
      <w:r w:rsidR="008B2A1D">
        <w:t xml:space="preserve"> jejich</w:t>
      </w:r>
      <w:r>
        <w:t xml:space="preserve"> rodiče</w:t>
      </w:r>
      <w:r w:rsidR="0032210F">
        <w:t>. K</w:t>
      </w:r>
      <w:r>
        <w:t>aždá škola má svého zástupce v rámc</w:t>
      </w:r>
      <w:r w:rsidR="0032210F">
        <w:t xml:space="preserve">i </w:t>
      </w:r>
      <w:proofErr w:type="spellStart"/>
      <w:r w:rsidR="0032210F">
        <w:t>podaktivity</w:t>
      </w:r>
      <w:proofErr w:type="spellEnd"/>
      <w:r w:rsidR="0032210F">
        <w:t xml:space="preserve"> č. 2.</w:t>
      </w:r>
      <w:r>
        <w:t>7 (podpora škol v plánování)</w:t>
      </w:r>
      <w:r w:rsidR="0032210F">
        <w:t>, kterým je statutární zástupce dané školy.</w:t>
      </w:r>
    </w:p>
    <w:p w:rsidR="00595CB9" w:rsidRDefault="00595CB9" w:rsidP="00917DC2"/>
    <w:tbl>
      <w:tblPr>
        <w:tblpPr w:leftFromText="141" w:rightFromText="141" w:vertAnchor="page" w:horzAnchor="margin" w:tblpY="6211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551"/>
        <w:gridCol w:w="2127"/>
      </w:tblGrid>
      <w:tr w:rsidR="00A959E3" w:rsidRPr="00550024" w:rsidTr="00B514F4">
        <w:trPr>
          <w:trHeight w:val="49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Organizace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osoba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A959E3" w:rsidRDefault="00A959E3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Zapojení osoby do ŘV nebo PS</w:t>
            </w:r>
          </w:p>
        </w:tc>
      </w:tr>
      <w:tr w:rsidR="00A959E3" w:rsidRPr="00550024" w:rsidTr="00B514F4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19C8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škola a mateřská škola Krahulčí, okres Jihlava,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024">
              <w:rPr>
                <w:rFonts w:ascii="Calibri" w:eastAsia="Times New Roman" w:hAnsi="Calibri" w:cs="Times New Roman"/>
                <w:color w:val="000000"/>
                <w:lang w:eastAsia="cs-CZ"/>
              </w:rPr>
              <w:t>Mgr. Naďa Vokřínková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E3" w:rsidRPr="00550024" w:rsidRDefault="00B514F4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ŘV, PS pro malotřídní školy</w:t>
            </w:r>
          </w:p>
        </w:tc>
      </w:tr>
      <w:tr w:rsidR="00A959E3" w:rsidRPr="00550024" w:rsidTr="00B514F4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129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škola a Mateřská škola Mrákotín,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0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Marcela </w:t>
            </w:r>
            <w:proofErr w:type="spellStart"/>
            <w:r w:rsidRPr="00550024">
              <w:rPr>
                <w:rFonts w:ascii="Calibri" w:eastAsia="Times New Roman" w:hAnsi="Calibri" w:cs="Times New Roman"/>
                <w:color w:val="000000"/>
                <w:lang w:eastAsia="cs-CZ"/>
              </w:rPr>
              <w:t>Hillayová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E3" w:rsidRPr="00550024" w:rsidRDefault="00B514F4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PS pro malotřídní školy</w:t>
            </w:r>
          </w:p>
        </w:tc>
      </w:tr>
      <w:tr w:rsidR="00A959E3" w:rsidRPr="00550024" w:rsidTr="00B514F4">
        <w:trPr>
          <w:trHeight w:val="5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19C8">
              <w:rPr>
                <w:rFonts w:ascii="Calibri" w:eastAsia="Times New Roman" w:hAnsi="Calibri" w:cs="Times New Roman"/>
                <w:color w:val="000000"/>
                <w:lang w:eastAsia="cs-CZ"/>
              </w:rPr>
              <w:t>Mateřská škola Nevcehle,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024">
              <w:rPr>
                <w:rFonts w:ascii="Calibri" w:eastAsia="Times New Roman" w:hAnsi="Calibri" w:cs="Times New Roman"/>
                <w:color w:val="000000"/>
                <w:lang w:eastAsia="cs-CZ"/>
              </w:rPr>
              <w:t>Bc. Eva Nováková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E3" w:rsidRPr="00550024" w:rsidRDefault="0061369E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PS pro předškolní vzdělávání</w:t>
            </w:r>
          </w:p>
        </w:tc>
      </w:tr>
      <w:tr w:rsidR="00A959E3" w:rsidRPr="00550024" w:rsidTr="00B514F4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19C8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škola a Mateřská škola Nová Říše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024">
              <w:rPr>
                <w:rFonts w:ascii="Calibri" w:eastAsia="Times New Roman" w:hAnsi="Calibri" w:cs="Times New Roman"/>
                <w:color w:val="000000"/>
                <w:lang w:eastAsia="cs-CZ"/>
              </w:rPr>
              <w:t>Mgr. Vojtěch Vrána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E3" w:rsidRPr="00550024" w:rsidRDefault="00B514F4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PS pro matematickou gramotnost</w:t>
            </w:r>
          </w:p>
        </w:tc>
      </w:tr>
      <w:tr w:rsidR="00A959E3" w:rsidRPr="00550024" w:rsidTr="00B514F4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19C8">
              <w:rPr>
                <w:rFonts w:ascii="Calibri" w:eastAsia="Times New Roman" w:hAnsi="Calibri" w:cs="Times New Roman"/>
                <w:color w:val="000000"/>
                <w:lang w:eastAsia="cs-CZ"/>
              </w:rPr>
              <w:t>Mateřská škola Radkov,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024">
              <w:rPr>
                <w:rFonts w:ascii="Calibri" w:eastAsia="Times New Roman" w:hAnsi="Calibri" w:cs="Times New Roman"/>
                <w:color w:val="000000"/>
                <w:lang w:eastAsia="cs-CZ"/>
              </w:rPr>
              <w:t>Alena Dušková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E3" w:rsidRPr="00550024" w:rsidRDefault="00B514F4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PS pro předškolní vzdělávání</w:t>
            </w:r>
          </w:p>
        </w:tc>
      </w:tr>
      <w:tr w:rsidR="00A959E3" w:rsidRPr="00550024" w:rsidTr="00B514F4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129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škola a Mateřská škola Stará Říše,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024">
              <w:rPr>
                <w:rFonts w:ascii="Calibri" w:eastAsia="Times New Roman" w:hAnsi="Calibri" w:cs="Times New Roman"/>
                <w:color w:val="000000"/>
                <w:lang w:eastAsia="cs-CZ"/>
              </w:rPr>
              <w:t>Mgr. Ilona Kazdová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E3" w:rsidRPr="00550024" w:rsidRDefault="00B514F4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ŘV, PS pro malotřídní školy</w:t>
            </w:r>
          </w:p>
        </w:tc>
      </w:tr>
      <w:tr w:rsidR="00A959E3" w:rsidRPr="00550024" w:rsidTr="00B514F4">
        <w:trPr>
          <w:trHeight w:val="6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19C8">
              <w:rPr>
                <w:rFonts w:ascii="Calibri" w:eastAsia="Times New Roman" w:hAnsi="Calibri" w:cs="Times New Roman"/>
                <w:color w:val="000000"/>
                <w:lang w:eastAsia="cs-CZ"/>
              </w:rPr>
              <w:t>Mateřská škola Telč,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024">
              <w:rPr>
                <w:rFonts w:ascii="Calibri" w:eastAsia="Times New Roman" w:hAnsi="Calibri" w:cs="Times New Roman"/>
                <w:color w:val="000000"/>
                <w:lang w:eastAsia="cs-CZ"/>
              </w:rPr>
              <w:t>Bc. Jarmila Horníková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E3" w:rsidRPr="00550024" w:rsidRDefault="00B514F4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ŘV, PS pro předškolní vzdělávání</w:t>
            </w:r>
          </w:p>
        </w:tc>
      </w:tr>
      <w:tr w:rsidR="00A959E3" w:rsidRPr="00550024" w:rsidTr="00B514F4">
        <w:trPr>
          <w:trHeight w:val="5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19C8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škola Telč, Hradecká 234,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024">
              <w:rPr>
                <w:rFonts w:ascii="Calibri" w:eastAsia="Times New Roman" w:hAnsi="Calibri" w:cs="Times New Roman"/>
                <w:color w:val="000000"/>
                <w:lang w:eastAsia="cs-CZ"/>
              </w:rPr>
              <w:t>Mgr. Miluše Remešová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E3" w:rsidRPr="00550024" w:rsidRDefault="00A959E3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59E3" w:rsidRPr="00550024" w:rsidTr="00B514F4">
        <w:trPr>
          <w:trHeight w:val="6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19C8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škola Telč, Masarykova 141,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024">
              <w:rPr>
                <w:rFonts w:ascii="Calibri" w:eastAsia="Times New Roman" w:hAnsi="Calibri" w:cs="Times New Roman"/>
                <w:color w:val="000000"/>
                <w:lang w:eastAsia="cs-CZ"/>
              </w:rPr>
              <w:t>Mgr. Karel Navrátil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E3" w:rsidRPr="00550024" w:rsidRDefault="00A959E3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959E3" w:rsidRPr="00550024" w:rsidTr="00B514F4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19C8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škola Urbanov, okres Jihlava,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024">
              <w:rPr>
                <w:rFonts w:ascii="Calibri" w:eastAsia="Times New Roman" w:hAnsi="Calibri" w:cs="Times New Roman"/>
                <w:color w:val="000000"/>
                <w:lang w:eastAsia="cs-CZ"/>
              </w:rPr>
              <w:t>Mgr. Hynek Vohoska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E3" w:rsidRPr="00550024" w:rsidRDefault="00B514F4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ŘV, PS pro malotřídní školy</w:t>
            </w:r>
          </w:p>
        </w:tc>
      </w:tr>
      <w:tr w:rsidR="00A959E3" w:rsidRPr="00550024" w:rsidTr="00B514F4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E3129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umělecká škola Telč,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Mgr. Lubomír Zadina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E3" w:rsidRDefault="00B514F4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</w:t>
            </w:r>
          </w:p>
        </w:tc>
      </w:tr>
      <w:tr w:rsidR="00A959E3" w:rsidRPr="00550024" w:rsidTr="00B514F4">
        <w:trPr>
          <w:trHeight w:val="4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419C8">
              <w:rPr>
                <w:rFonts w:ascii="Calibri" w:eastAsia="Times New Roman" w:hAnsi="Calibri" w:cs="Times New Roman"/>
                <w:color w:val="000000"/>
                <w:lang w:eastAsia="cs-CZ"/>
              </w:rPr>
              <w:t>Mateřská škola Sedlejov,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E3" w:rsidRPr="00550024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500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Bc. Iveta </w:t>
            </w:r>
            <w:proofErr w:type="spellStart"/>
            <w:r w:rsidRPr="00550024">
              <w:rPr>
                <w:rFonts w:ascii="Calibri" w:eastAsia="Times New Roman" w:hAnsi="Calibri" w:cs="Times New Roman"/>
                <w:color w:val="000000"/>
                <w:lang w:eastAsia="cs-CZ"/>
              </w:rPr>
              <w:t>Všohájková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E3" w:rsidRPr="00550024" w:rsidRDefault="00B514F4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PS pro předškolní vzdělávání</w:t>
            </w:r>
          </w:p>
        </w:tc>
      </w:tr>
      <w:tr w:rsidR="00A959E3" w:rsidRPr="00550024" w:rsidTr="00B514F4">
        <w:trPr>
          <w:trHeight w:val="4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E3" w:rsidRPr="00350E1E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3803">
              <w:rPr>
                <w:rFonts w:ascii="Calibri" w:eastAsia="Times New Roman" w:hAnsi="Calibri" w:cs="Times New Roman"/>
                <w:color w:val="000000"/>
                <w:lang w:eastAsia="cs-CZ"/>
              </w:rPr>
              <w:t>Dům dětí a mládeže Telč, příspěvková organizace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9E3" w:rsidRPr="00350E1E" w:rsidRDefault="00A959E3" w:rsidP="008B2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0E1E">
              <w:rPr>
                <w:rFonts w:ascii="Calibri" w:eastAsia="Times New Roman" w:hAnsi="Calibri" w:cs="Times New Roman"/>
                <w:color w:val="000000"/>
                <w:lang w:eastAsia="cs-CZ"/>
              </w:rPr>
              <w:t>Mgr. Luboš Janovský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E3" w:rsidRPr="00350E1E" w:rsidRDefault="00B514F4" w:rsidP="00B51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ŘV</w:t>
            </w:r>
          </w:p>
        </w:tc>
      </w:tr>
    </w:tbl>
    <w:p w:rsidR="00595CB9" w:rsidRDefault="00595CB9" w:rsidP="00917DC2"/>
    <w:p w:rsidR="00595CB9" w:rsidRDefault="00595CB9" w:rsidP="00917DC2"/>
    <w:p w:rsidR="00595CB9" w:rsidRDefault="00595CB9" w:rsidP="00917DC2"/>
    <w:p w:rsidR="005E3129" w:rsidRDefault="005E3129" w:rsidP="00917DC2">
      <w:pPr>
        <w:rPr>
          <w:b/>
          <w:color w:val="7030A0"/>
          <w:sz w:val="32"/>
          <w:szCs w:val="32"/>
        </w:rPr>
      </w:pPr>
      <w:r w:rsidRPr="005E3129">
        <w:rPr>
          <w:b/>
          <w:color w:val="7030A0"/>
          <w:sz w:val="32"/>
          <w:szCs w:val="32"/>
        </w:rPr>
        <w:t>Zřizovatelé škol a školských zařízení</w:t>
      </w:r>
    </w:p>
    <w:p w:rsidR="008B2A1D" w:rsidRDefault="008B2A1D" w:rsidP="00917DC2">
      <w:pPr>
        <w:rPr>
          <w:color w:val="7030A0"/>
        </w:rPr>
      </w:pPr>
    </w:p>
    <w:p w:rsidR="005E3129" w:rsidRDefault="005E3129" w:rsidP="008B2A1D">
      <w:pPr>
        <w:jc w:val="both"/>
      </w:pPr>
      <w:r w:rsidRPr="005E3129">
        <w:t>Součástí dotčené veřejnosti jsou následující zřizovatelé škol a školských zařízení se sídlem</w:t>
      </w:r>
      <w:r>
        <w:t xml:space="preserve"> v ORP Telč</w:t>
      </w:r>
    </w:p>
    <w:p w:rsidR="008B2A1D" w:rsidRDefault="008B2A1D" w:rsidP="008B2A1D">
      <w:pPr>
        <w:jc w:val="both"/>
      </w:pPr>
      <w:r>
        <w:t>Zřizovatelé škol a zaměstnanci veřejné správy působící v oblasti vzdělávání mají svůj podíl na realizaci vzdělávací politiky v regionu. Zástupci zřizovatelů mají své zastoupení v Řídicím výboru, který schvaluje dílčí kroky místního akčního plánu vzdělávání a také jeho finální podobu a dále v pracovních skupinách. Předpokládá se jejich aktivní zapojení do přípravy plánu, přinášení podnětů pro řešení problematických oblastí vzdělávání v regionu i připomínkování průběhu tvorby MAP.</w:t>
      </w:r>
    </w:p>
    <w:p w:rsidR="008B2A1D" w:rsidRPr="005E3129" w:rsidRDefault="008B2A1D" w:rsidP="00917DC2"/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395"/>
        <w:gridCol w:w="3263"/>
        <w:gridCol w:w="2835"/>
      </w:tblGrid>
      <w:tr w:rsidR="00A959E3" w:rsidRPr="00917E93" w:rsidTr="00B514F4">
        <w:trPr>
          <w:trHeight w:val="567"/>
        </w:trPr>
        <w:tc>
          <w:tcPr>
            <w:tcW w:w="3395" w:type="dxa"/>
            <w:shd w:val="clear" w:color="auto" w:fill="CCCCFF"/>
            <w:vAlign w:val="center"/>
          </w:tcPr>
          <w:p w:rsidR="00A959E3" w:rsidRPr="00917E93" w:rsidRDefault="00A959E3" w:rsidP="00F846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Organizace</w:t>
            </w:r>
          </w:p>
        </w:tc>
        <w:tc>
          <w:tcPr>
            <w:tcW w:w="3263" w:type="dxa"/>
            <w:shd w:val="clear" w:color="auto" w:fill="CCCCFF"/>
            <w:vAlign w:val="center"/>
          </w:tcPr>
          <w:p w:rsidR="00A959E3" w:rsidRPr="00917E93" w:rsidRDefault="00A959E3" w:rsidP="00F846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osoba</w:t>
            </w:r>
          </w:p>
        </w:tc>
        <w:tc>
          <w:tcPr>
            <w:tcW w:w="2835" w:type="dxa"/>
            <w:shd w:val="clear" w:color="auto" w:fill="CCCCFF"/>
            <w:vAlign w:val="center"/>
          </w:tcPr>
          <w:p w:rsidR="00A959E3" w:rsidRDefault="00A959E3" w:rsidP="00B5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Zapojení osoby do ŘV nebo PS</w:t>
            </w:r>
          </w:p>
        </w:tc>
      </w:tr>
      <w:tr w:rsidR="00A959E3" w:rsidRPr="00917E93" w:rsidTr="00B514F4">
        <w:trPr>
          <w:trHeight w:val="567"/>
        </w:trPr>
        <w:tc>
          <w:tcPr>
            <w:tcW w:w="3395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color w:val="000000"/>
                <w:lang w:eastAsia="cs-CZ"/>
              </w:rPr>
              <w:t>Obec Krahulčí</w:t>
            </w:r>
          </w:p>
        </w:tc>
        <w:tc>
          <w:tcPr>
            <w:tcW w:w="3263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Pavel Líbal</w:t>
            </w:r>
          </w:p>
        </w:tc>
        <w:tc>
          <w:tcPr>
            <w:tcW w:w="2835" w:type="dxa"/>
            <w:vAlign w:val="center"/>
          </w:tcPr>
          <w:p w:rsidR="00A959E3" w:rsidRPr="00917E93" w:rsidRDefault="00A959E3" w:rsidP="00B5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959E3" w:rsidRPr="00917E93" w:rsidTr="00B514F4">
        <w:trPr>
          <w:trHeight w:val="567"/>
        </w:trPr>
        <w:tc>
          <w:tcPr>
            <w:tcW w:w="3395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color w:val="000000"/>
                <w:lang w:eastAsia="cs-CZ"/>
              </w:rPr>
              <w:t>Městys Mrákotín</w:t>
            </w:r>
          </w:p>
        </w:tc>
        <w:tc>
          <w:tcPr>
            <w:tcW w:w="3263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Miroslav Požár</w:t>
            </w:r>
          </w:p>
        </w:tc>
        <w:tc>
          <w:tcPr>
            <w:tcW w:w="2835" w:type="dxa"/>
            <w:vAlign w:val="center"/>
          </w:tcPr>
          <w:p w:rsidR="00A959E3" w:rsidRPr="00917E93" w:rsidRDefault="00A959E3" w:rsidP="00B5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ŘV</w:t>
            </w:r>
          </w:p>
        </w:tc>
      </w:tr>
      <w:tr w:rsidR="00A959E3" w:rsidRPr="00917E93" w:rsidTr="00B514F4">
        <w:trPr>
          <w:trHeight w:val="567"/>
        </w:trPr>
        <w:tc>
          <w:tcPr>
            <w:tcW w:w="3395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color w:val="000000"/>
                <w:lang w:eastAsia="cs-CZ"/>
              </w:rPr>
              <w:t>Obec Nevcehle</w:t>
            </w:r>
          </w:p>
        </w:tc>
        <w:tc>
          <w:tcPr>
            <w:tcW w:w="3263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Karel Hirš</w:t>
            </w:r>
          </w:p>
        </w:tc>
        <w:tc>
          <w:tcPr>
            <w:tcW w:w="2835" w:type="dxa"/>
            <w:vAlign w:val="center"/>
          </w:tcPr>
          <w:p w:rsidR="00A959E3" w:rsidRPr="00917E93" w:rsidRDefault="00A959E3" w:rsidP="00B5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959E3" w:rsidRPr="00917E93" w:rsidTr="00B514F4">
        <w:trPr>
          <w:trHeight w:val="567"/>
        </w:trPr>
        <w:tc>
          <w:tcPr>
            <w:tcW w:w="3395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color w:val="000000"/>
                <w:lang w:eastAsia="cs-CZ"/>
              </w:rPr>
              <w:t>Městys Nová Říše</w:t>
            </w:r>
          </w:p>
        </w:tc>
        <w:tc>
          <w:tcPr>
            <w:tcW w:w="3263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Ing. Jaroslav </w:t>
            </w:r>
            <w:proofErr w:type="spellStart"/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Pachr</w:t>
            </w:r>
            <w:proofErr w:type="spellEnd"/>
          </w:p>
        </w:tc>
        <w:tc>
          <w:tcPr>
            <w:tcW w:w="2835" w:type="dxa"/>
            <w:vAlign w:val="center"/>
          </w:tcPr>
          <w:p w:rsidR="00A959E3" w:rsidRPr="00917E93" w:rsidRDefault="00A959E3" w:rsidP="00B5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959E3" w:rsidRPr="00917E93" w:rsidTr="00B514F4">
        <w:trPr>
          <w:trHeight w:val="567"/>
        </w:trPr>
        <w:tc>
          <w:tcPr>
            <w:tcW w:w="3395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color w:val="000000"/>
                <w:lang w:eastAsia="cs-CZ"/>
              </w:rPr>
              <w:t>Obec Radkov</w:t>
            </w:r>
          </w:p>
        </w:tc>
        <w:tc>
          <w:tcPr>
            <w:tcW w:w="3263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Miroslav Mareček</w:t>
            </w:r>
          </w:p>
        </w:tc>
        <w:tc>
          <w:tcPr>
            <w:tcW w:w="2835" w:type="dxa"/>
            <w:vAlign w:val="center"/>
          </w:tcPr>
          <w:p w:rsidR="00A959E3" w:rsidRPr="00917E93" w:rsidRDefault="00A959E3" w:rsidP="00B5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959E3" w:rsidRPr="00917E93" w:rsidTr="00B514F4">
        <w:trPr>
          <w:trHeight w:val="567"/>
        </w:trPr>
        <w:tc>
          <w:tcPr>
            <w:tcW w:w="3395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Obec Sedlejov</w:t>
            </w:r>
          </w:p>
        </w:tc>
        <w:tc>
          <w:tcPr>
            <w:tcW w:w="3263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Ing. Milan Beneš</w:t>
            </w:r>
          </w:p>
        </w:tc>
        <w:tc>
          <w:tcPr>
            <w:tcW w:w="2835" w:type="dxa"/>
            <w:vAlign w:val="center"/>
          </w:tcPr>
          <w:p w:rsidR="00A959E3" w:rsidRDefault="00A959E3" w:rsidP="00B5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959E3" w:rsidRPr="00917E93" w:rsidTr="00B514F4">
        <w:trPr>
          <w:trHeight w:val="567"/>
        </w:trPr>
        <w:tc>
          <w:tcPr>
            <w:tcW w:w="3395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color w:val="000000"/>
                <w:lang w:eastAsia="cs-CZ"/>
              </w:rPr>
              <w:t>Městys Stará Říše</w:t>
            </w:r>
          </w:p>
        </w:tc>
        <w:tc>
          <w:tcPr>
            <w:tcW w:w="3263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917E9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Zdeněk Svoboda</w:t>
            </w:r>
          </w:p>
        </w:tc>
        <w:tc>
          <w:tcPr>
            <w:tcW w:w="2835" w:type="dxa"/>
            <w:vAlign w:val="center"/>
          </w:tcPr>
          <w:p w:rsidR="00A959E3" w:rsidRPr="00917E93" w:rsidRDefault="00A959E3" w:rsidP="00B5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959E3" w:rsidRPr="00917E93" w:rsidTr="00B514F4">
        <w:trPr>
          <w:trHeight w:val="567"/>
        </w:trPr>
        <w:tc>
          <w:tcPr>
            <w:tcW w:w="3395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6F96">
              <w:rPr>
                <w:rFonts w:ascii="Calibri" w:eastAsia="Times New Roman" w:hAnsi="Calibri" w:cs="Times New Roman"/>
                <w:color w:val="000000"/>
                <w:lang w:eastAsia="cs-CZ"/>
              </w:rPr>
              <w:t>Obec Urbanov</w:t>
            </w:r>
          </w:p>
        </w:tc>
        <w:tc>
          <w:tcPr>
            <w:tcW w:w="3263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Zažímal</w:t>
            </w:r>
            <w:proofErr w:type="spellEnd"/>
          </w:p>
        </w:tc>
        <w:tc>
          <w:tcPr>
            <w:tcW w:w="2835" w:type="dxa"/>
            <w:vAlign w:val="center"/>
          </w:tcPr>
          <w:p w:rsidR="00A959E3" w:rsidRDefault="00A959E3" w:rsidP="00B5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A959E3" w:rsidRPr="00917E93" w:rsidTr="00B514F4">
        <w:trPr>
          <w:trHeight w:val="567"/>
        </w:trPr>
        <w:tc>
          <w:tcPr>
            <w:tcW w:w="3395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Město Telč</w:t>
            </w:r>
          </w:p>
        </w:tc>
        <w:tc>
          <w:tcPr>
            <w:tcW w:w="3263" w:type="dxa"/>
            <w:vAlign w:val="center"/>
          </w:tcPr>
          <w:p w:rsidR="00A959E3" w:rsidRPr="00917E93" w:rsidRDefault="00A959E3" w:rsidP="00F846C5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Mgr. Roman Fabeš</w:t>
            </w:r>
          </w:p>
        </w:tc>
        <w:tc>
          <w:tcPr>
            <w:tcW w:w="2835" w:type="dxa"/>
            <w:vAlign w:val="center"/>
          </w:tcPr>
          <w:p w:rsidR="00A959E3" w:rsidRDefault="00A959E3" w:rsidP="00B514F4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ŘV</w:t>
            </w:r>
            <w:r w:rsidR="00ED1242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, PS pro financování</w:t>
            </w:r>
          </w:p>
        </w:tc>
      </w:tr>
    </w:tbl>
    <w:p w:rsidR="008B2A1D" w:rsidRDefault="008B2A1D" w:rsidP="00917DC2"/>
    <w:p w:rsidR="008B2A1D" w:rsidRDefault="008B2A1D">
      <w:r>
        <w:br w:type="page"/>
      </w:r>
    </w:p>
    <w:p w:rsidR="005E3129" w:rsidRDefault="005E3129" w:rsidP="00917DC2"/>
    <w:p w:rsidR="005E3129" w:rsidRDefault="001E1DEE" w:rsidP="00917DC2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Organizace působící v oblasti vzdělávání</w:t>
      </w:r>
    </w:p>
    <w:p w:rsidR="008B2A1D" w:rsidRDefault="008B2A1D" w:rsidP="004A0AE7">
      <w:pPr>
        <w:jc w:val="both"/>
      </w:pPr>
      <w:r>
        <w:t>Významnými aktéry projektu MAP jsou pracovníci neziskových</w:t>
      </w:r>
      <w:r w:rsidR="000A7283">
        <w:t xml:space="preserve"> organizací</w:t>
      </w:r>
      <w:r>
        <w:t xml:space="preserve"> působící v oblasti vzdělávání a v oblasti neformálního a zájmového vzdělávání dětí a mládeže na území SO ORP Telč. </w:t>
      </w:r>
      <w:r w:rsidR="004A0AE7">
        <w:t xml:space="preserve">Dále jsou zde zastoupeny organizace zabývající se mimo jiné vzděláváním pedagogických pracovníků a poskytováním metodické pomoci. </w:t>
      </w:r>
      <w:r>
        <w:t xml:space="preserve">Organizace mají zastoupení v Řídicím výboru </w:t>
      </w:r>
      <w:r w:rsidR="004A0AE7">
        <w:t xml:space="preserve">a </w:t>
      </w:r>
      <w:r>
        <w:t>v pracovn</w:t>
      </w:r>
      <w:r w:rsidR="0013023E">
        <w:t>ích skupinách, případně jsou do </w:t>
      </w:r>
      <w:r>
        <w:t xml:space="preserve">pracovních skupin zváni jako odborníci. </w:t>
      </w:r>
    </w:p>
    <w:p w:rsidR="004A0AE7" w:rsidRPr="005E3129" w:rsidRDefault="004A0AE7" w:rsidP="004A0AE7">
      <w:pPr>
        <w:jc w:val="both"/>
      </w:pPr>
      <w:r>
        <w:t>Další skupinou jso</w:t>
      </w:r>
      <w:r w:rsidR="0013023E">
        <w:t>u mateřské a základní školy spadající do území MAS Telčsko, ale zároveň již patřící do území SO ORP Jihlava. Tyto školy jsou zapojeny do MAP II Jihlava, ale v některých aktivitách (především KA4) jsou zapojeny také do projektu MAP Telčska II., např. budování znalostních kapacit, výměna informací, sdílení zkušeností apod.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390"/>
        <w:gridCol w:w="2693"/>
        <w:gridCol w:w="2410"/>
      </w:tblGrid>
      <w:tr w:rsidR="00A959E3" w:rsidRPr="00474AA8" w:rsidTr="0060556D">
        <w:trPr>
          <w:trHeight w:val="567"/>
        </w:trPr>
        <w:tc>
          <w:tcPr>
            <w:tcW w:w="4390" w:type="dxa"/>
            <w:shd w:val="clear" w:color="auto" w:fill="CCCCFF"/>
            <w:vAlign w:val="center"/>
          </w:tcPr>
          <w:p w:rsidR="00A959E3" w:rsidRPr="00474AA8" w:rsidRDefault="00A959E3" w:rsidP="00F846C5">
            <w:pPr>
              <w:jc w:val="center"/>
              <w:rPr>
                <w:b/>
              </w:rPr>
            </w:pPr>
            <w:r w:rsidRPr="00474AA8">
              <w:rPr>
                <w:b/>
              </w:rPr>
              <w:t>Organizace</w:t>
            </w:r>
          </w:p>
        </w:tc>
        <w:tc>
          <w:tcPr>
            <w:tcW w:w="2693" w:type="dxa"/>
            <w:shd w:val="clear" w:color="auto" w:fill="CCCCFF"/>
            <w:vAlign w:val="center"/>
          </w:tcPr>
          <w:p w:rsidR="00A959E3" w:rsidRPr="00474AA8" w:rsidRDefault="00A959E3" w:rsidP="00F846C5">
            <w:pPr>
              <w:jc w:val="center"/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2410" w:type="dxa"/>
            <w:shd w:val="clear" w:color="auto" w:fill="CCCCFF"/>
            <w:vAlign w:val="center"/>
          </w:tcPr>
          <w:p w:rsidR="00A959E3" w:rsidRDefault="00A959E3" w:rsidP="00A959E3">
            <w:pPr>
              <w:jc w:val="center"/>
              <w:rPr>
                <w:b/>
              </w:rPr>
            </w:pPr>
            <w:r>
              <w:rPr>
                <w:b/>
              </w:rPr>
              <w:t>Zapojení osoby do ŘV nebo PS</w:t>
            </w:r>
          </w:p>
        </w:tc>
      </w:tr>
      <w:tr w:rsidR="00A959E3" w:rsidTr="0060556D">
        <w:trPr>
          <w:trHeight w:val="567"/>
        </w:trPr>
        <w:tc>
          <w:tcPr>
            <w:tcW w:w="4390" w:type="dxa"/>
            <w:vAlign w:val="center"/>
          </w:tcPr>
          <w:p w:rsidR="00A959E3" w:rsidRPr="004D6F96" w:rsidRDefault="00A959E3" w:rsidP="00F846C5">
            <w:r w:rsidRPr="00710C3F">
              <w:t>Místní akční skupina Mikroregionu Telčsko</w:t>
            </w:r>
          </w:p>
        </w:tc>
        <w:tc>
          <w:tcPr>
            <w:tcW w:w="2693" w:type="dxa"/>
            <w:vAlign w:val="center"/>
          </w:tcPr>
          <w:p w:rsidR="00A959E3" w:rsidRDefault="00A959E3" w:rsidP="00F846C5">
            <w:r w:rsidRPr="00710C3F">
              <w:t>Marie Prknová</w:t>
            </w:r>
          </w:p>
        </w:tc>
        <w:tc>
          <w:tcPr>
            <w:tcW w:w="2410" w:type="dxa"/>
            <w:vAlign w:val="center"/>
          </w:tcPr>
          <w:p w:rsidR="00A959E3" w:rsidRPr="00710C3F" w:rsidRDefault="00A959E3" w:rsidP="00B514F4">
            <w:pPr>
              <w:jc w:val="center"/>
            </w:pPr>
            <w:r>
              <w:t>ŘV</w:t>
            </w:r>
          </w:p>
        </w:tc>
      </w:tr>
      <w:tr w:rsidR="00A959E3" w:rsidRPr="00E75612" w:rsidTr="0060556D">
        <w:trPr>
          <w:trHeight w:val="567"/>
        </w:trPr>
        <w:tc>
          <w:tcPr>
            <w:tcW w:w="4390" w:type="dxa"/>
            <w:vAlign w:val="center"/>
          </w:tcPr>
          <w:p w:rsidR="00A959E3" w:rsidRPr="004D6F96" w:rsidRDefault="00A959E3" w:rsidP="00F846C5">
            <w:r w:rsidRPr="004D6F96">
              <w:t>Mikroregion Telčsko</w:t>
            </w:r>
          </w:p>
        </w:tc>
        <w:tc>
          <w:tcPr>
            <w:tcW w:w="2693" w:type="dxa"/>
            <w:vAlign w:val="center"/>
          </w:tcPr>
          <w:p w:rsidR="00A959E3" w:rsidRPr="00E75612" w:rsidRDefault="00A959E3" w:rsidP="00F846C5">
            <w:r w:rsidRPr="00E75612">
              <w:t>Mgr. Roman Fabeš</w:t>
            </w:r>
          </w:p>
        </w:tc>
        <w:tc>
          <w:tcPr>
            <w:tcW w:w="2410" w:type="dxa"/>
            <w:vAlign w:val="center"/>
          </w:tcPr>
          <w:p w:rsidR="00A959E3" w:rsidRPr="00E75612" w:rsidRDefault="00A959E3" w:rsidP="00B514F4">
            <w:pPr>
              <w:jc w:val="center"/>
            </w:pPr>
            <w:r>
              <w:t>ŘV</w:t>
            </w:r>
          </w:p>
        </w:tc>
      </w:tr>
      <w:tr w:rsidR="00A959E3" w:rsidRPr="00AA39B8" w:rsidTr="0060556D">
        <w:trPr>
          <w:trHeight w:val="567"/>
        </w:trPr>
        <w:tc>
          <w:tcPr>
            <w:tcW w:w="4390" w:type="dxa"/>
            <w:vAlign w:val="center"/>
          </w:tcPr>
          <w:p w:rsidR="00A959E3" w:rsidRPr="00AA39B8" w:rsidRDefault="00A959E3" w:rsidP="00F846C5">
            <w:r>
              <w:t xml:space="preserve">Na Větvi,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  <w:tc>
          <w:tcPr>
            <w:tcW w:w="2693" w:type="dxa"/>
            <w:vAlign w:val="center"/>
          </w:tcPr>
          <w:p w:rsidR="00A959E3" w:rsidRPr="00AA39B8" w:rsidRDefault="00A959E3" w:rsidP="00F846C5">
            <w:r>
              <w:t xml:space="preserve">Bc. </w:t>
            </w:r>
            <w:r w:rsidRPr="00AA39B8">
              <w:t>Lucie Váchová</w:t>
            </w:r>
          </w:p>
        </w:tc>
        <w:tc>
          <w:tcPr>
            <w:tcW w:w="2410" w:type="dxa"/>
            <w:vAlign w:val="center"/>
          </w:tcPr>
          <w:p w:rsidR="00A959E3" w:rsidRDefault="00A959E3" w:rsidP="00B514F4">
            <w:pPr>
              <w:jc w:val="center"/>
            </w:pPr>
            <w:r>
              <w:t>ŘV, PS pro předškolní vzdělávání</w:t>
            </w:r>
          </w:p>
        </w:tc>
      </w:tr>
      <w:tr w:rsidR="00A959E3" w:rsidRPr="00AA39B8" w:rsidTr="0060556D">
        <w:trPr>
          <w:trHeight w:val="567"/>
        </w:trPr>
        <w:tc>
          <w:tcPr>
            <w:tcW w:w="4390" w:type="dxa"/>
            <w:vAlign w:val="center"/>
          </w:tcPr>
          <w:p w:rsidR="00A959E3" w:rsidRPr="00AA39B8" w:rsidRDefault="00A959E3" w:rsidP="00F846C5">
            <w:proofErr w:type="gramStart"/>
            <w:r w:rsidRPr="004E793D">
              <w:t>Krteček - Rodinné</w:t>
            </w:r>
            <w:proofErr w:type="gramEnd"/>
            <w:r w:rsidRPr="004E793D">
              <w:t xml:space="preserve"> centrum z.</w:t>
            </w:r>
            <w:r w:rsidR="00643696">
              <w:t xml:space="preserve"> </w:t>
            </w:r>
            <w:r w:rsidRPr="004E793D">
              <w:t>s.</w:t>
            </w:r>
          </w:p>
        </w:tc>
        <w:tc>
          <w:tcPr>
            <w:tcW w:w="2693" w:type="dxa"/>
            <w:vAlign w:val="center"/>
          </w:tcPr>
          <w:p w:rsidR="00A959E3" w:rsidRPr="00AA39B8" w:rsidRDefault="00A959E3" w:rsidP="00F846C5">
            <w:r w:rsidRPr="00AA39B8">
              <w:t>Renata Šeniglová</w:t>
            </w:r>
          </w:p>
        </w:tc>
        <w:tc>
          <w:tcPr>
            <w:tcW w:w="2410" w:type="dxa"/>
            <w:vAlign w:val="center"/>
          </w:tcPr>
          <w:p w:rsidR="00A959E3" w:rsidRPr="00AA39B8" w:rsidRDefault="00A959E3" w:rsidP="00B514F4">
            <w:pPr>
              <w:jc w:val="center"/>
            </w:pPr>
          </w:p>
        </w:tc>
      </w:tr>
      <w:tr w:rsidR="00A959E3" w:rsidRPr="00AA39B8" w:rsidTr="0060556D">
        <w:trPr>
          <w:trHeight w:val="567"/>
        </w:trPr>
        <w:tc>
          <w:tcPr>
            <w:tcW w:w="4390" w:type="dxa"/>
            <w:vAlign w:val="center"/>
          </w:tcPr>
          <w:p w:rsidR="00A959E3" w:rsidRPr="00AA39B8" w:rsidRDefault="00A959E3" w:rsidP="00F846C5">
            <w:proofErr w:type="spellStart"/>
            <w:r w:rsidRPr="00AA39B8">
              <w:t>ZASTÁVka</w:t>
            </w:r>
            <w:proofErr w:type="spellEnd"/>
            <w:r w:rsidRPr="00AA39B8">
              <w:t xml:space="preserve"> Telč</w:t>
            </w:r>
            <w:r>
              <w:t xml:space="preserve"> -</w:t>
            </w:r>
            <w:r w:rsidRPr="004E793D">
              <w:t>nízkoprahové zařízení pro děti a mládež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A959E3" w:rsidRPr="00AA39B8" w:rsidRDefault="00A959E3" w:rsidP="00F846C5">
            <w:r w:rsidRPr="00AA39B8">
              <w:t>Mgr. Šárka Štočková</w:t>
            </w:r>
          </w:p>
        </w:tc>
        <w:tc>
          <w:tcPr>
            <w:tcW w:w="2410" w:type="dxa"/>
            <w:vAlign w:val="center"/>
          </w:tcPr>
          <w:p w:rsidR="00A959E3" w:rsidRPr="00AA39B8" w:rsidRDefault="00ED1242" w:rsidP="00B514F4">
            <w:pPr>
              <w:jc w:val="center"/>
            </w:pPr>
            <w:r>
              <w:t>PS pro rovné příležitosti</w:t>
            </w:r>
          </w:p>
        </w:tc>
      </w:tr>
      <w:tr w:rsidR="00A959E3" w:rsidRPr="00AA39B8" w:rsidTr="0060556D">
        <w:trPr>
          <w:trHeight w:val="567"/>
        </w:trPr>
        <w:tc>
          <w:tcPr>
            <w:tcW w:w="4390" w:type="dxa"/>
            <w:vAlign w:val="center"/>
          </w:tcPr>
          <w:p w:rsidR="00A959E3" w:rsidRPr="00AA39B8" w:rsidRDefault="00A959E3" w:rsidP="00F846C5">
            <w:r>
              <w:t>Univerzitní centrum Telč</w:t>
            </w:r>
          </w:p>
        </w:tc>
        <w:tc>
          <w:tcPr>
            <w:tcW w:w="2693" w:type="dxa"/>
            <w:vAlign w:val="center"/>
          </w:tcPr>
          <w:p w:rsidR="00A959E3" w:rsidRPr="00AA39B8" w:rsidRDefault="00A959E3" w:rsidP="00F846C5">
            <w:r w:rsidRPr="00E75612">
              <w:t>Mgr. Jaroslav Makovec</w:t>
            </w:r>
          </w:p>
        </w:tc>
        <w:tc>
          <w:tcPr>
            <w:tcW w:w="2410" w:type="dxa"/>
            <w:vAlign w:val="center"/>
          </w:tcPr>
          <w:p w:rsidR="00A959E3" w:rsidRPr="00E75612" w:rsidRDefault="00A959E3" w:rsidP="00B514F4">
            <w:pPr>
              <w:jc w:val="center"/>
            </w:pPr>
          </w:p>
        </w:tc>
      </w:tr>
      <w:tr w:rsidR="00A959E3" w:rsidRPr="00AA39B8" w:rsidTr="0060556D">
        <w:trPr>
          <w:trHeight w:val="567"/>
        </w:trPr>
        <w:tc>
          <w:tcPr>
            <w:tcW w:w="4390" w:type="dxa"/>
            <w:vAlign w:val="center"/>
          </w:tcPr>
          <w:p w:rsidR="00A959E3" w:rsidRDefault="007C00A7" w:rsidP="00F846C5">
            <w:r>
              <w:t>Panský dvůr Telč volnočasový z. s.</w:t>
            </w:r>
          </w:p>
        </w:tc>
        <w:tc>
          <w:tcPr>
            <w:tcW w:w="2693" w:type="dxa"/>
            <w:vAlign w:val="center"/>
          </w:tcPr>
          <w:p w:rsidR="00A959E3" w:rsidRPr="00E75612" w:rsidRDefault="00A959E3" w:rsidP="00F846C5">
            <w:r>
              <w:t>Kateřina Kodysová</w:t>
            </w:r>
          </w:p>
        </w:tc>
        <w:tc>
          <w:tcPr>
            <w:tcW w:w="2410" w:type="dxa"/>
            <w:vAlign w:val="center"/>
          </w:tcPr>
          <w:p w:rsidR="00A959E3" w:rsidRDefault="00A959E3" w:rsidP="00B514F4">
            <w:pPr>
              <w:jc w:val="center"/>
            </w:pPr>
          </w:p>
        </w:tc>
      </w:tr>
      <w:tr w:rsidR="007C00A7" w:rsidRPr="00AA39B8" w:rsidTr="0060556D">
        <w:trPr>
          <w:trHeight w:val="567"/>
        </w:trPr>
        <w:tc>
          <w:tcPr>
            <w:tcW w:w="4390" w:type="dxa"/>
            <w:vAlign w:val="center"/>
          </w:tcPr>
          <w:p w:rsidR="007C00A7" w:rsidRDefault="007C00A7" w:rsidP="00F846C5">
            <w:r>
              <w:t>Dětský domov Telč</w:t>
            </w:r>
          </w:p>
        </w:tc>
        <w:tc>
          <w:tcPr>
            <w:tcW w:w="2693" w:type="dxa"/>
            <w:vAlign w:val="center"/>
          </w:tcPr>
          <w:p w:rsidR="007C00A7" w:rsidRDefault="007C00A7" w:rsidP="00F846C5">
            <w:r>
              <w:t>Mgr. Milan Opravil</w:t>
            </w:r>
          </w:p>
        </w:tc>
        <w:tc>
          <w:tcPr>
            <w:tcW w:w="2410" w:type="dxa"/>
            <w:vAlign w:val="center"/>
          </w:tcPr>
          <w:p w:rsidR="007C00A7" w:rsidRDefault="007C00A7" w:rsidP="00B514F4">
            <w:pPr>
              <w:jc w:val="center"/>
            </w:pPr>
            <w:r>
              <w:t>PS pro rovné příležitosti</w:t>
            </w:r>
          </w:p>
        </w:tc>
      </w:tr>
      <w:tr w:rsidR="00A959E3" w:rsidRPr="00AA39B8" w:rsidTr="0060556D">
        <w:trPr>
          <w:trHeight w:val="567"/>
        </w:trPr>
        <w:tc>
          <w:tcPr>
            <w:tcW w:w="4390" w:type="dxa"/>
            <w:vAlign w:val="center"/>
          </w:tcPr>
          <w:p w:rsidR="00A959E3" w:rsidRDefault="00A959E3" w:rsidP="00F846C5">
            <w:r w:rsidRPr="004E793D">
              <w:t>Základní škola a mateřská škola Pavlov, příspěvková organizace</w:t>
            </w:r>
          </w:p>
        </w:tc>
        <w:tc>
          <w:tcPr>
            <w:tcW w:w="2693" w:type="dxa"/>
            <w:vAlign w:val="center"/>
          </w:tcPr>
          <w:p w:rsidR="00A959E3" w:rsidRDefault="00A959E3" w:rsidP="00E63138">
            <w:r>
              <w:t xml:space="preserve">Mgr. Vladimír </w:t>
            </w:r>
            <w:proofErr w:type="spellStart"/>
            <w:r>
              <w:t>Polodna</w:t>
            </w:r>
            <w:proofErr w:type="spellEnd"/>
          </w:p>
        </w:tc>
        <w:tc>
          <w:tcPr>
            <w:tcW w:w="2410" w:type="dxa"/>
            <w:vAlign w:val="center"/>
          </w:tcPr>
          <w:p w:rsidR="00A959E3" w:rsidRDefault="00A959E3" w:rsidP="00B514F4">
            <w:pPr>
              <w:jc w:val="center"/>
            </w:pPr>
          </w:p>
        </w:tc>
      </w:tr>
      <w:tr w:rsidR="00A959E3" w:rsidRPr="00AA39B8" w:rsidTr="0060556D">
        <w:trPr>
          <w:trHeight w:val="567"/>
        </w:trPr>
        <w:tc>
          <w:tcPr>
            <w:tcW w:w="4390" w:type="dxa"/>
            <w:vAlign w:val="center"/>
          </w:tcPr>
          <w:p w:rsidR="00A959E3" w:rsidRPr="004E793D" w:rsidRDefault="00A959E3" w:rsidP="00F846C5">
            <w:r w:rsidRPr="004E793D">
              <w:t>Základní škola a Mateřská škola Růžená, příspěvková organizace</w:t>
            </w:r>
          </w:p>
        </w:tc>
        <w:tc>
          <w:tcPr>
            <w:tcW w:w="2693" w:type="dxa"/>
            <w:vAlign w:val="center"/>
          </w:tcPr>
          <w:p w:rsidR="00A959E3" w:rsidRDefault="00A959E3" w:rsidP="00E63138">
            <w:r w:rsidRPr="004E793D">
              <w:t>Mgr. Zuzana Krejčová</w:t>
            </w:r>
          </w:p>
        </w:tc>
        <w:tc>
          <w:tcPr>
            <w:tcW w:w="2410" w:type="dxa"/>
            <w:vAlign w:val="center"/>
          </w:tcPr>
          <w:p w:rsidR="00A959E3" w:rsidRPr="004E793D" w:rsidRDefault="00A959E3" w:rsidP="00B514F4">
            <w:pPr>
              <w:jc w:val="center"/>
            </w:pPr>
          </w:p>
        </w:tc>
      </w:tr>
      <w:tr w:rsidR="00A959E3" w:rsidRPr="00AA39B8" w:rsidTr="0060556D">
        <w:trPr>
          <w:trHeight w:val="567"/>
        </w:trPr>
        <w:tc>
          <w:tcPr>
            <w:tcW w:w="4390" w:type="dxa"/>
          </w:tcPr>
          <w:p w:rsidR="00A959E3" w:rsidRDefault="00A959E3" w:rsidP="004E793D">
            <w:r w:rsidRPr="00727FC7">
              <w:t>MATEŘSKÁ ŠKOLA KALIŠTĚ, okres Jihlava příspěvková organizace</w:t>
            </w:r>
          </w:p>
        </w:tc>
        <w:tc>
          <w:tcPr>
            <w:tcW w:w="2693" w:type="dxa"/>
            <w:vAlign w:val="center"/>
          </w:tcPr>
          <w:p w:rsidR="00A959E3" w:rsidRDefault="00A959E3" w:rsidP="00E63138">
            <w:r w:rsidRPr="004E793D">
              <w:t>Miroslava Kadlecová</w:t>
            </w:r>
          </w:p>
        </w:tc>
        <w:tc>
          <w:tcPr>
            <w:tcW w:w="2410" w:type="dxa"/>
            <w:vAlign w:val="center"/>
          </w:tcPr>
          <w:p w:rsidR="00A959E3" w:rsidRPr="004E793D" w:rsidRDefault="00A959E3" w:rsidP="00B514F4">
            <w:pPr>
              <w:jc w:val="center"/>
            </w:pPr>
          </w:p>
        </w:tc>
      </w:tr>
      <w:tr w:rsidR="00A959E3" w:rsidRPr="00AA39B8" w:rsidTr="0060556D">
        <w:trPr>
          <w:trHeight w:val="567"/>
        </w:trPr>
        <w:tc>
          <w:tcPr>
            <w:tcW w:w="4390" w:type="dxa"/>
          </w:tcPr>
          <w:p w:rsidR="00A959E3" w:rsidRPr="00727FC7" w:rsidRDefault="00A959E3" w:rsidP="004E793D">
            <w:r w:rsidRPr="004E793D">
              <w:t>Základní škola a Mateřská škola Hodice, příspěvková organizace</w:t>
            </w:r>
          </w:p>
        </w:tc>
        <w:tc>
          <w:tcPr>
            <w:tcW w:w="2693" w:type="dxa"/>
            <w:vAlign w:val="center"/>
          </w:tcPr>
          <w:p w:rsidR="00A959E3" w:rsidRPr="004E793D" w:rsidRDefault="00A959E3" w:rsidP="00E63138">
            <w:r w:rsidRPr="004E793D">
              <w:t>Mgr. Dagmar Marešová</w:t>
            </w:r>
          </w:p>
        </w:tc>
        <w:tc>
          <w:tcPr>
            <w:tcW w:w="2410" w:type="dxa"/>
            <w:vAlign w:val="center"/>
          </w:tcPr>
          <w:p w:rsidR="00A959E3" w:rsidRPr="004E793D" w:rsidRDefault="00A959E3" w:rsidP="00B514F4">
            <w:pPr>
              <w:jc w:val="center"/>
            </w:pPr>
          </w:p>
        </w:tc>
      </w:tr>
      <w:tr w:rsidR="00A959E3" w:rsidRPr="00AA39B8" w:rsidTr="0060556D">
        <w:trPr>
          <w:trHeight w:val="567"/>
        </w:trPr>
        <w:tc>
          <w:tcPr>
            <w:tcW w:w="4390" w:type="dxa"/>
            <w:vAlign w:val="center"/>
          </w:tcPr>
          <w:p w:rsidR="00A959E3" w:rsidRPr="004E793D" w:rsidRDefault="00A959E3" w:rsidP="004E793D">
            <w:r>
              <w:t xml:space="preserve">Vysočina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693" w:type="dxa"/>
            <w:vAlign w:val="center"/>
          </w:tcPr>
          <w:p w:rsidR="00A959E3" w:rsidRDefault="00A959E3" w:rsidP="00E63138">
            <w:r>
              <w:t>Ing. Milena Dolejská</w:t>
            </w:r>
          </w:p>
          <w:p w:rsidR="00A959E3" w:rsidRPr="004E793D" w:rsidRDefault="00A959E3" w:rsidP="00E63138">
            <w:r>
              <w:t>Mgr. Roman Křivánek</w:t>
            </w:r>
          </w:p>
        </w:tc>
        <w:tc>
          <w:tcPr>
            <w:tcW w:w="2410" w:type="dxa"/>
            <w:vAlign w:val="center"/>
          </w:tcPr>
          <w:p w:rsidR="00A959E3" w:rsidRDefault="00A959E3" w:rsidP="00B514F4">
            <w:pPr>
              <w:jc w:val="center"/>
            </w:pPr>
            <w:r>
              <w:t>ŘV</w:t>
            </w:r>
          </w:p>
        </w:tc>
      </w:tr>
      <w:tr w:rsidR="00A959E3" w:rsidRPr="00AA39B8" w:rsidTr="0060556D">
        <w:trPr>
          <w:trHeight w:val="567"/>
        </w:trPr>
        <w:tc>
          <w:tcPr>
            <w:tcW w:w="4390" w:type="dxa"/>
          </w:tcPr>
          <w:p w:rsidR="00A959E3" w:rsidRPr="004E793D" w:rsidRDefault="00A959E3" w:rsidP="004A0AE7">
            <w:r>
              <w:t xml:space="preserve">Národní institut pro další vzdělávání, krajské pracoviště Jihlava </w:t>
            </w:r>
          </w:p>
        </w:tc>
        <w:tc>
          <w:tcPr>
            <w:tcW w:w="2693" w:type="dxa"/>
            <w:vAlign w:val="center"/>
          </w:tcPr>
          <w:p w:rsidR="00A959E3" w:rsidRDefault="00A959E3" w:rsidP="00E63138">
            <w:r>
              <w:t>Mgr. Darina Čermáková</w:t>
            </w:r>
          </w:p>
          <w:p w:rsidR="00A959E3" w:rsidRPr="004E793D" w:rsidRDefault="00A959E3" w:rsidP="00E63138">
            <w:r>
              <w:t xml:space="preserve">Bc. Soňa </w:t>
            </w:r>
            <w:proofErr w:type="spellStart"/>
            <w:r>
              <w:t>Baueršímová</w:t>
            </w:r>
            <w:proofErr w:type="spellEnd"/>
          </w:p>
        </w:tc>
        <w:tc>
          <w:tcPr>
            <w:tcW w:w="2410" w:type="dxa"/>
            <w:vAlign w:val="center"/>
          </w:tcPr>
          <w:p w:rsidR="00A959E3" w:rsidRDefault="00A959E3" w:rsidP="00B514F4">
            <w:pPr>
              <w:jc w:val="center"/>
            </w:pPr>
            <w:r>
              <w:t>ŘV</w:t>
            </w:r>
          </w:p>
        </w:tc>
      </w:tr>
    </w:tbl>
    <w:p w:rsidR="0013023E" w:rsidRDefault="0013023E" w:rsidP="00917DC2"/>
    <w:p w:rsidR="0013023E" w:rsidRDefault="0013023E">
      <w:r>
        <w:br w:type="page"/>
      </w:r>
    </w:p>
    <w:p w:rsidR="0013023E" w:rsidRDefault="0013023E" w:rsidP="00917DC2"/>
    <w:p w:rsidR="005E3129" w:rsidRPr="005E3129" w:rsidRDefault="005E3129" w:rsidP="00917DC2">
      <w:pPr>
        <w:rPr>
          <w:b/>
          <w:color w:val="7030A0"/>
          <w:sz w:val="32"/>
          <w:szCs w:val="32"/>
        </w:rPr>
      </w:pPr>
      <w:r w:rsidRPr="005E3129">
        <w:rPr>
          <w:b/>
          <w:color w:val="7030A0"/>
          <w:sz w:val="32"/>
          <w:szCs w:val="32"/>
        </w:rPr>
        <w:t>Veřejnost</w:t>
      </w:r>
    </w:p>
    <w:p w:rsidR="0013023E" w:rsidRDefault="005E3129" w:rsidP="0013023E">
      <w:pPr>
        <w:jc w:val="both"/>
      </w:pPr>
      <w:r w:rsidRPr="005E3129">
        <w:t xml:space="preserve">Tato </w:t>
      </w:r>
      <w:r w:rsidR="0013023E">
        <w:t>cílová skupina z</w:t>
      </w:r>
      <w:r w:rsidR="00C91A33">
        <w:t>ahrnuje kromě odborné též</w:t>
      </w:r>
      <w:r w:rsidRPr="005E3129">
        <w:t xml:space="preserve"> veške</w:t>
      </w:r>
      <w:r>
        <w:t>rou laickou veřejnost, která můž</w:t>
      </w:r>
      <w:r w:rsidRPr="005E3129">
        <w:t>e, avšak nemusí být se s</w:t>
      </w:r>
      <w:r>
        <w:t>ituací a plány v oblasti vzdělá</w:t>
      </w:r>
      <w:r w:rsidRPr="005E3129">
        <w:t xml:space="preserve">vání, výchovy a v souvisejících oblastech jakkoli seznámena. </w:t>
      </w:r>
      <w:r w:rsidR="0013023E">
        <w:t>Snahou realizačního týmu bude tuto cílovou skupinu informovat především prostřednictvím webových stránek a sociálních sítí a případně zájmu zapojovat do konzultačního procesu.</w:t>
      </w:r>
    </w:p>
    <w:p w:rsidR="008B2A1D" w:rsidRDefault="008B2A1D" w:rsidP="00917DC2"/>
    <w:p w:rsidR="008B2A1D" w:rsidRPr="008B2A1D" w:rsidRDefault="008B2A1D" w:rsidP="00917DC2">
      <w:pPr>
        <w:rPr>
          <w:b/>
          <w:color w:val="7030A0"/>
          <w:sz w:val="32"/>
          <w:szCs w:val="32"/>
        </w:rPr>
      </w:pPr>
      <w:r w:rsidRPr="008B2A1D">
        <w:rPr>
          <w:b/>
          <w:color w:val="7030A0"/>
          <w:sz w:val="32"/>
          <w:szCs w:val="32"/>
        </w:rPr>
        <w:t xml:space="preserve">Závěr </w:t>
      </w:r>
    </w:p>
    <w:p w:rsidR="008B2A1D" w:rsidRDefault="008B2A1D" w:rsidP="001E1DEE">
      <w:pPr>
        <w:jc w:val="both"/>
      </w:pPr>
      <w:r>
        <w:t>Cílem zvolené komunikační strategie je především otevřenost projektu pro další zájemce, kteří mají zájem o spolupráci v jakékoli oblasti související s realizací MAP</w:t>
      </w:r>
      <w:r w:rsidR="001E1DEE">
        <w:t xml:space="preserve"> II</w:t>
      </w:r>
      <w:r>
        <w:t>. Aktivní účast v projektu MAP</w:t>
      </w:r>
      <w:r w:rsidR="001E1DEE">
        <w:t xml:space="preserve"> II.</w:t>
      </w:r>
      <w:r>
        <w:t xml:space="preserve">, účast v pracovních skupinách apod. je pravidelně připomínána a komunikována. </w:t>
      </w:r>
      <w:r w:rsidR="001E1DEE">
        <w:t>Zapojováním</w:t>
      </w:r>
      <w:r>
        <w:t xml:space="preserve"> aktérů vzdělávání do projektu MAP </w:t>
      </w:r>
      <w:r w:rsidR="001E1DEE">
        <w:t xml:space="preserve">II. </w:t>
      </w:r>
      <w:r>
        <w:t>je rovněž naplněn princip spolupráce mezi zřizovateli, školami, organizacemi neformálního a zájmového vzdělání a rodiči. Tito akt</w:t>
      </w:r>
      <w:r w:rsidR="001E1DEE">
        <w:t>éři se mají možnost scházet při </w:t>
      </w:r>
      <w:r>
        <w:t>nejrůznějších akcích pořádaných realizačním týmem a mají tak</w:t>
      </w:r>
      <w:r w:rsidR="00ED1242">
        <w:t xml:space="preserve"> příležitost sdílet informace a </w:t>
      </w:r>
      <w:r>
        <w:t>vyměňovat si poznatky z praxe. Pravidelnou aktualizací internetových stránek a facebookového profilu projektu MAP</w:t>
      </w:r>
      <w:r w:rsidR="001E1DEE">
        <w:t xml:space="preserve"> II. je zajištěn</w:t>
      </w:r>
      <w:r>
        <w:t xml:space="preserve"> přístup k informacím široké veřejnosti.</w:t>
      </w:r>
    </w:p>
    <w:p w:rsidR="0013023E" w:rsidRDefault="0013023E" w:rsidP="00917DC2"/>
    <w:p w:rsidR="001E1DEE" w:rsidRDefault="001E1DEE" w:rsidP="00917DC2"/>
    <w:p w:rsidR="001E1DEE" w:rsidRDefault="001E1DEE" w:rsidP="00917DC2">
      <w:r>
        <w:t>V Telči dne 26. března 2019</w:t>
      </w:r>
    </w:p>
    <w:p w:rsidR="001E1DEE" w:rsidRDefault="001E1DEE" w:rsidP="00917DC2"/>
    <w:p w:rsidR="001E1DEE" w:rsidRDefault="001E1DEE" w:rsidP="00917DC2"/>
    <w:p w:rsidR="001E1DEE" w:rsidRDefault="001E1DEE" w:rsidP="00917DC2"/>
    <w:p w:rsidR="001E1DEE" w:rsidRDefault="001E1DEE" w:rsidP="001E1DEE">
      <w:pPr>
        <w:pStyle w:val="Default"/>
        <w:tabs>
          <w:tab w:val="center" w:pos="5670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8524A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0A7283" w:rsidRPr="0088524A" w:rsidRDefault="000A7283" w:rsidP="001E1DEE">
      <w:pPr>
        <w:pStyle w:val="Default"/>
        <w:tabs>
          <w:tab w:val="center" w:pos="5670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Mgr. Hynek </w:t>
      </w:r>
      <w:proofErr w:type="spellStart"/>
      <w:r>
        <w:rPr>
          <w:rFonts w:asciiTheme="minorHAnsi" w:hAnsiTheme="minorHAnsi" w:cstheme="minorHAnsi"/>
          <w:sz w:val="22"/>
          <w:szCs w:val="22"/>
        </w:rPr>
        <w:t>Vohoska</w:t>
      </w:r>
      <w:proofErr w:type="spellEnd"/>
    </w:p>
    <w:p w:rsidR="001E1DEE" w:rsidRPr="001E1DEE" w:rsidRDefault="001E1DEE" w:rsidP="001E1DEE">
      <w:pPr>
        <w:pStyle w:val="Default"/>
        <w:tabs>
          <w:tab w:val="center" w:pos="567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ab/>
        <w:t>předseda Řídícího výboru</w:t>
      </w:r>
      <w:r w:rsidR="00921911">
        <w:rPr>
          <w:rFonts w:asciiTheme="minorHAnsi" w:hAnsiTheme="minorHAnsi" w:cstheme="minorHAnsi"/>
          <w:sz w:val="22"/>
          <w:szCs w:val="22"/>
        </w:rPr>
        <w:t xml:space="preserve"> MAP II.</w:t>
      </w:r>
      <w:r w:rsidRPr="0088524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E1DEE" w:rsidRPr="001E1D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C2" w:rsidRDefault="00917DC2" w:rsidP="00917DC2">
      <w:pPr>
        <w:spacing w:after="0" w:line="240" w:lineRule="auto"/>
      </w:pPr>
      <w:r>
        <w:separator/>
      </w:r>
    </w:p>
  </w:endnote>
  <w:endnote w:type="continuationSeparator" w:id="0">
    <w:p w:rsidR="00917DC2" w:rsidRDefault="00917DC2" w:rsidP="0091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DC2" w:rsidRPr="00917DC2" w:rsidRDefault="00917DC2" w:rsidP="00917DC2">
    <w:pPr>
      <w:tabs>
        <w:tab w:val="center" w:pos="4536"/>
        <w:tab w:val="right" w:pos="9072"/>
      </w:tabs>
      <w:spacing w:after="0" w:line="240" w:lineRule="auto"/>
      <w:jc w:val="center"/>
    </w:pPr>
    <w:r w:rsidRPr="00917DC2">
      <w:rPr>
        <w:bCs/>
      </w:rPr>
      <w:t>Místní akční plán rozvoje vzdělávání Telčska II.</w:t>
    </w:r>
  </w:p>
  <w:p w:rsidR="00917DC2" w:rsidRPr="00917DC2" w:rsidRDefault="00917DC2" w:rsidP="00917DC2">
    <w:pPr>
      <w:tabs>
        <w:tab w:val="center" w:pos="4536"/>
        <w:tab w:val="right" w:pos="9072"/>
      </w:tabs>
      <w:spacing w:after="0" w:line="240" w:lineRule="auto"/>
      <w:jc w:val="center"/>
    </w:pPr>
    <w:r w:rsidRPr="00917DC2">
      <w:t>reg. č. CZ.02.3.68/0.0/0.0/17_047/0009139</w:t>
    </w:r>
  </w:p>
  <w:p w:rsidR="00917DC2" w:rsidRDefault="00917D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C2" w:rsidRDefault="00917DC2" w:rsidP="00917DC2">
      <w:pPr>
        <w:spacing w:after="0" w:line="240" w:lineRule="auto"/>
      </w:pPr>
      <w:r>
        <w:separator/>
      </w:r>
    </w:p>
  </w:footnote>
  <w:footnote w:type="continuationSeparator" w:id="0">
    <w:p w:rsidR="00917DC2" w:rsidRDefault="00917DC2" w:rsidP="0091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DC2" w:rsidRDefault="00917D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906145</wp:posOffset>
          </wp:positionH>
          <wp:positionV relativeFrom="paragraph">
            <wp:posOffset>-320040</wp:posOffset>
          </wp:positionV>
          <wp:extent cx="3841115" cy="743585"/>
          <wp:effectExtent l="0" t="0" r="698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1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BF0"/>
    <w:multiLevelType w:val="hybridMultilevel"/>
    <w:tmpl w:val="1EA0633E"/>
    <w:lvl w:ilvl="0" w:tplc="0B6A41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3673"/>
    <w:multiLevelType w:val="hybridMultilevel"/>
    <w:tmpl w:val="422E7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C2"/>
    <w:rsid w:val="000A7283"/>
    <w:rsid w:val="0013023E"/>
    <w:rsid w:val="001E1DEE"/>
    <w:rsid w:val="00276F62"/>
    <w:rsid w:val="0032210F"/>
    <w:rsid w:val="00332047"/>
    <w:rsid w:val="004A0AE7"/>
    <w:rsid w:val="004E793D"/>
    <w:rsid w:val="00595CB9"/>
    <w:rsid w:val="005E3129"/>
    <w:rsid w:val="0060556D"/>
    <w:rsid w:val="0061369E"/>
    <w:rsid w:val="00643696"/>
    <w:rsid w:val="00677174"/>
    <w:rsid w:val="007419C8"/>
    <w:rsid w:val="007C00A7"/>
    <w:rsid w:val="008B2A1D"/>
    <w:rsid w:val="00917DC2"/>
    <w:rsid w:val="00921911"/>
    <w:rsid w:val="00A44586"/>
    <w:rsid w:val="00A959E3"/>
    <w:rsid w:val="00B514F4"/>
    <w:rsid w:val="00BF23D8"/>
    <w:rsid w:val="00C91A33"/>
    <w:rsid w:val="00E543BD"/>
    <w:rsid w:val="00E63138"/>
    <w:rsid w:val="00ED1242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FCAC6B"/>
  <w15:chartTrackingRefBased/>
  <w15:docId w15:val="{E91046FA-882B-473B-B5B2-89639987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DC2"/>
  </w:style>
  <w:style w:type="paragraph" w:styleId="Zpat">
    <w:name w:val="footer"/>
    <w:basedOn w:val="Normln"/>
    <w:link w:val="ZpatChar"/>
    <w:uiPriority w:val="99"/>
    <w:unhideWhenUsed/>
    <w:rsid w:val="0091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DC2"/>
  </w:style>
  <w:style w:type="paragraph" w:customStyle="1" w:styleId="Default">
    <w:name w:val="Default"/>
    <w:rsid w:val="00917D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4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1324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Lenovo03</cp:lastModifiedBy>
  <cp:revision>15</cp:revision>
  <dcterms:created xsi:type="dcterms:W3CDTF">2019-03-19T10:47:00Z</dcterms:created>
  <dcterms:modified xsi:type="dcterms:W3CDTF">2019-03-27T08:16:00Z</dcterms:modified>
</cp:coreProperties>
</file>